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如东县人民医院医学装备院内调研公告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有关供应商：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我单位拟调研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心电一张网项目设备一套</w:t>
      </w:r>
      <w:r>
        <w:rPr>
          <w:rFonts w:hint="eastAsia" w:asciiTheme="minorEastAsia" w:hAnsiTheme="minorEastAsia"/>
          <w:sz w:val="24"/>
          <w:szCs w:val="24"/>
        </w:rPr>
        <w:t>欢迎符合要求的供应商报名参加。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调研项目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心电一张网项目设备一套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项目配置包含“中心端动态心电记录仪”12台（供我院使用）、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1440" w:firstLineChars="6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“社区端动态心电记录仪”258台（供基层医院、社区使用）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1440" w:firstLineChars="6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“动、静态多功能心电记录仪”5台（供医联体医院使用）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1440" w:firstLineChars="6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心电信息智慧平台一套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通过以上配置形成一个覆盖全县居民的心电检测服务项目，达到及时检测并诊断心脏系统疾患，以期完成早检查、早诊断、早治疗，从而有效提高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卒中治愈率。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>供应商资格要求（同时满足以下各项要求）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（1）供应商必须是中国境内注册的独立法人，具有独立承担民事责任的能力，具有履行调研项目所必需的设备和专业技术能力，能够提供调研项目的安装、培训、售后服务；　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（2）供应商经营范围须包含调研项目的生产或销售；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（3）供应商必须是调研项目的生产厂商或合法代理商；</w:t>
      </w:r>
    </w:p>
    <w:p>
      <w:pPr>
        <w:spacing w:line="500" w:lineRule="exact"/>
        <w:ind w:firstLine="42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（4）符合《中华人民共和国政府采购法》第22条规定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、报名材料（所有材料都需加盖单位红章）</w:t>
      </w:r>
    </w:p>
    <w:p>
      <w:pPr>
        <w:spacing w:line="500" w:lineRule="exact"/>
        <w:ind w:firstLine="42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>企业法人</w:t>
      </w:r>
      <w:r>
        <w:rPr>
          <w:rFonts w:hint="eastAsia" w:cs="Times New Roman" w:asciiTheme="minorEastAsia" w:hAnsiTheme="minorEastAsia"/>
          <w:sz w:val="24"/>
          <w:szCs w:val="24"/>
        </w:rPr>
        <w:t>营业执照、经营许可证等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法定代表人授权书（原件）</w:t>
      </w:r>
      <w:r>
        <w:rPr>
          <w:rFonts w:hint="eastAsia" w:asciiTheme="minorEastAsia" w:hAnsiTheme="minorEastAsia"/>
          <w:sz w:val="24"/>
          <w:szCs w:val="24"/>
        </w:rPr>
        <w:t>及被授权人身份证</w:t>
      </w:r>
      <w:r>
        <w:rPr>
          <w:rFonts w:hint="eastAsia" w:cs="Times New Roman" w:asciiTheme="minorEastAsia" w:hAnsiTheme="minorEastAsia"/>
          <w:sz w:val="24"/>
          <w:szCs w:val="24"/>
        </w:rPr>
        <w:t>（复印件）；</w:t>
      </w:r>
    </w:p>
    <w:p>
      <w:pPr>
        <w:spacing w:line="500" w:lineRule="exact"/>
        <w:ind w:firstLine="42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）制造厂商授权代理商</w:t>
      </w:r>
      <w:r>
        <w:rPr>
          <w:rFonts w:cs="Times New Roman" w:asciiTheme="minorEastAsia" w:hAnsiTheme="minorEastAsia"/>
          <w:sz w:val="24"/>
          <w:szCs w:val="24"/>
        </w:rPr>
        <w:t>/</w:t>
      </w:r>
      <w:r>
        <w:rPr>
          <w:rFonts w:hint="eastAsia" w:cs="Times New Roman" w:asciiTheme="minorEastAsia" w:hAnsiTheme="minorEastAsia"/>
          <w:sz w:val="24"/>
          <w:szCs w:val="24"/>
        </w:rPr>
        <w:t>经销商的销售证明书（原件，授权不少于一年）；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医疗器械生产许可证、医疗器械经营许可证、医疗器械注册证、医疗器械登记表等及其他国家规定应具备的许可证复印件；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）提供</w:t>
      </w:r>
      <w:r>
        <w:rPr>
          <w:rFonts w:hint="eastAsia" w:asciiTheme="minorEastAsia" w:hAnsiTheme="minorEastAsia"/>
          <w:sz w:val="24"/>
          <w:szCs w:val="24"/>
        </w:rPr>
        <w:t>江苏省、上海市范围内三级医院的装机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维保）</w:t>
      </w:r>
      <w:r>
        <w:rPr>
          <w:rFonts w:hint="eastAsia" w:asciiTheme="minorEastAsia" w:hAnsiTheme="minorEastAsia"/>
          <w:sz w:val="24"/>
          <w:szCs w:val="24"/>
        </w:rPr>
        <w:t>用户名单（必须包含装机型号、装机时间、联系电话，提供中标单位发票复印件）；</w:t>
      </w:r>
    </w:p>
    <w:p>
      <w:pPr>
        <w:spacing w:line="500" w:lineRule="exact"/>
        <w:ind w:firstLine="42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（5）参加院内调研项目的性能、特点、原厂详细配置参数（技术白皮书）、彩页以及日常使用所需的耗材、试剂清单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500" w:lineRule="exact"/>
        <w:ind w:firstLine="420" w:firstLineChars="0"/>
        <w:rPr>
          <w:rFonts w:hint="eastAsia" w:cs="Times New Roman" w:asciiTheme="minorEastAsia" w:hAnsi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）未被“信用中国”网站列入失信被执行人、重大税收违法案件当事人名单、政府采购严重失信行为记录名单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提供查询结果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；</w:t>
      </w:r>
    </w:p>
    <w:p>
      <w:pPr>
        <w:spacing w:line="500" w:lineRule="exact"/>
        <w:ind w:firstLine="42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）投标人参加本次采购活动近三年内无违法记录的书面声明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sz w:val="24"/>
          <w:szCs w:val="24"/>
        </w:rPr>
        <w:t>、报名方式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（1）报名文件：有意向参与调研的供应商需填写报名登记表（见附件二），同报名材料同时送至我院，未同时提交报名登记表及报名材料的视为无效报名，不可参与调研；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（2）报名截止时间：202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sz w:val="24"/>
          <w:szCs w:val="24"/>
        </w:rPr>
        <w:t>日1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:00（法定节假日及公休日除外）；</w:t>
      </w:r>
    </w:p>
    <w:p>
      <w:pPr>
        <w:spacing w:line="500" w:lineRule="exac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（3）报名文件接收地点：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如东县人民医院医学装备科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</w:p>
    <w:p>
      <w:pPr>
        <w:spacing w:line="500" w:lineRule="exact"/>
        <w:ind w:firstLine="2870" w:firstLineChars="1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如东县人民医院招标与采购办公室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50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（4）报名联系电话：0513-84118717；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0513-84118336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（5）调研时间：另行通知。</w:t>
      </w:r>
    </w:p>
    <w:p>
      <w:pPr>
        <w:widowControl/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附件二：</w:t>
      </w:r>
    </w:p>
    <w:p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医学装备院内调研报名表</w:t>
      </w:r>
    </w:p>
    <w:tbl>
      <w:tblPr>
        <w:tblStyle w:val="3"/>
        <w:tblpPr w:leftFromText="180" w:rightFromText="180" w:vertAnchor="page" w:horzAnchor="page" w:tblpXSpec="center" w:tblpY="2322"/>
        <w:tblOverlap w:val="never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85"/>
        <w:gridCol w:w="1418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注册证号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产地品牌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装机量（台）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国内      省内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主要性能参数：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主要配置及附件：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耗材、易损件清单：</w:t>
            </w:r>
          </w:p>
        </w:tc>
      </w:tr>
    </w:tbl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供货商：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企业法人声明：本人承诺所供资料完整真实有效并愿意承担相应责任！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企业法人签字盖章：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销售代表姓名：           电话：           邮箱：</w:t>
      </w:r>
    </w:p>
    <w:p>
      <w:pPr>
        <w:spacing w:line="600" w:lineRule="auto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日期：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BD1DB"/>
    <w:multiLevelType w:val="singleLevel"/>
    <w:tmpl w:val="0EEBD1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mIyNWRiOWZiZWZiOWI4NjAwYjA2MWUwNTEzNzEifQ=="/>
  </w:docVars>
  <w:rsids>
    <w:rsidRoot w:val="00592095"/>
    <w:rsid w:val="000B699E"/>
    <w:rsid w:val="000E4BBA"/>
    <w:rsid w:val="00277304"/>
    <w:rsid w:val="0033553D"/>
    <w:rsid w:val="003E59C9"/>
    <w:rsid w:val="003F75F9"/>
    <w:rsid w:val="00445AF1"/>
    <w:rsid w:val="00453D91"/>
    <w:rsid w:val="00592095"/>
    <w:rsid w:val="005D2E09"/>
    <w:rsid w:val="007246B7"/>
    <w:rsid w:val="007820E1"/>
    <w:rsid w:val="009715F7"/>
    <w:rsid w:val="00A52355"/>
    <w:rsid w:val="00AE5753"/>
    <w:rsid w:val="00B06C0F"/>
    <w:rsid w:val="00D05C61"/>
    <w:rsid w:val="08F24482"/>
    <w:rsid w:val="0969226A"/>
    <w:rsid w:val="0AF1710D"/>
    <w:rsid w:val="0D7A4A46"/>
    <w:rsid w:val="21FB3F4F"/>
    <w:rsid w:val="255120D8"/>
    <w:rsid w:val="282B1532"/>
    <w:rsid w:val="28F65471"/>
    <w:rsid w:val="2DF2268B"/>
    <w:rsid w:val="2E8E3859"/>
    <w:rsid w:val="301068EB"/>
    <w:rsid w:val="35325A82"/>
    <w:rsid w:val="36F54E91"/>
    <w:rsid w:val="4A802994"/>
    <w:rsid w:val="53395DD6"/>
    <w:rsid w:val="5753390A"/>
    <w:rsid w:val="58AA6400"/>
    <w:rsid w:val="59F40CA9"/>
    <w:rsid w:val="5D610166"/>
    <w:rsid w:val="5E532442"/>
    <w:rsid w:val="6D1242D8"/>
    <w:rsid w:val="6D5C4302"/>
    <w:rsid w:val="76B92C06"/>
    <w:rsid w:val="7B022DCE"/>
    <w:rsid w:val="7B66335D"/>
    <w:rsid w:val="7FF2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1532</Words>
  <Characters>1558</Characters>
  <Lines>6</Lines>
  <Paragraphs>1</Paragraphs>
  <TotalTime>65</TotalTime>
  <ScaleCrop>false</ScaleCrop>
  <LinksUpToDate>false</LinksUpToDate>
  <CharactersWithSpaces>1590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2021-04-14T06:49:00Z</dcterms:created>
  <dc:creator>MS</dc:creator>
  <cp:lastModifiedBy>张小蕾</cp:lastModifiedBy>
  <dcterms:modified xsi:type="dcterms:W3CDTF">2023-11-21T02:54:11Z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DD5EC5A523E04AD89D1F86C108DC7672_13</vt:lpwstr>
  </property>
</Properties>
</file>